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08286B" w:rsidP="00C23508" w:rsidRDefault="001B7D1D" w14:paraId="324BE9D0" w14:textId="0CDA4331">
      <w:pPr>
        <w:pStyle w:val="Corpsdetexte"/>
        <w:rPr>
          <w:b/>
          <w:sz w:val="24"/>
          <w:szCs w:val="24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781EF5" wp14:editId="5A38FF22">
                <wp:simplePos x="0" y="0"/>
                <wp:positionH relativeFrom="column">
                  <wp:posOffset>1606550</wp:posOffset>
                </wp:positionH>
                <wp:positionV relativeFrom="paragraph">
                  <wp:posOffset>-426129</wp:posOffset>
                </wp:positionV>
                <wp:extent cx="4716780" cy="673100"/>
                <wp:effectExtent l="0" t="0" r="762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6780" cy="67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3C6E6A" w:rsidR="00443C06" w:rsidP="00443C06" w:rsidRDefault="00443C06" w14:paraId="743955CF" w14:textId="49989C1F">
                            <w:pPr>
                              <w:jc w:val="center"/>
                              <w:rPr>
                                <w:color w:val="4F81BD" w:themeColor="accent1"/>
                                <w:sz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6E6A">
                              <w:rPr>
                                <w:color w:val="4F81BD" w:themeColor="accent1"/>
                                <w:sz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FB18C8">
                              <w:rPr>
                                <w:color w:val="4F81BD" w:themeColor="accent1"/>
                                <w:sz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’appréciation du cheminement de l’enfant </w:t>
                            </w:r>
                            <w:r w:rsidRPr="003C6E6A">
                              <w:rPr>
                                <w:color w:val="4F81BD" w:themeColor="accent1"/>
                                <w:sz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au bulletin, un travail professionnel et rigoureux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E781EF5">
                <v:stroke joinstyle="miter"/>
                <v:path gradientshapeok="t" o:connecttype="rect"/>
              </v:shapetype>
              <v:shape id="Zone de texte 5" style="position:absolute;left:0;text-align:left;margin-left:126.5pt;margin-top:-33.55pt;width:371.4pt;height:5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">
                <v:textbox>
                  <w:txbxContent>
                    <w:p w:rsidRPr="003C6E6A" w:rsidR="00443C06" w:rsidP="00443C06" w:rsidRDefault="00443C06" w14:paraId="743955CF" w14:textId="49989C1F">
                      <w:pPr>
                        <w:jc w:val="center"/>
                        <w:rPr>
                          <w:color w:val="4F81BD" w:themeColor="accent1"/>
                          <w:sz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6E6A">
                        <w:rPr>
                          <w:color w:val="4F81BD" w:themeColor="accent1"/>
                          <w:sz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FB18C8">
                        <w:rPr>
                          <w:color w:val="4F81BD" w:themeColor="accent1"/>
                          <w:sz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’appréciation du cheminement de l’enfant </w:t>
                      </w:r>
                      <w:r w:rsidRPr="003C6E6A">
                        <w:rPr>
                          <w:color w:val="4F81BD" w:themeColor="accent1"/>
                          <w:sz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au bulletin, un travail professionnel et rigoureux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3864"/>
        </w:rPr>
        <w:drawing>
          <wp:anchor distT="0" distB="0" distL="114300" distR="114300" simplePos="0" relativeHeight="251667456" behindDoc="0" locked="0" layoutInCell="1" allowOverlap="1" wp14:anchorId="471AB69E" wp14:editId="7C7A86FD">
            <wp:simplePos x="0" y="0"/>
            <wp:positionH relativeFrom="column">
              <wp:posOffset>-602829</wp:posOffset>
            </wp:positionH>
            <wp:positionV relativeFrom="paragraph">
              <wp:posOffset>-418115</wp:posOffset>
            </wp:positionV>
            <wp:extent cx="1476375" cy="67329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7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7D1D" w:rsidP="0008286B" w:rsidRDefault="001B7D1D" w14:paraId="7131CD2C" w14:textId="5D63E7F1">
      <w:pPr>
        <w:pStyle w:val="Corpsdetexte"/>
        <w:ind w:left="-284" w:right="-574"/>
        <w:rPr>
          <w:rFonts w:ascii="Calibri Light" w:hAnsi="Calibri Light" w:cs="Calibri Light"/>
          <w:b/>
          <w:sz w:val="24"/>
          <w:szCs w:val="24"/>
        </w:rPr>
      </w:pPr>
    </w:p>
    <w:p w:rsidR="00F35EA3" w:rsidP="0008286B" w:rsidRDefault="0008286B" w14:paraId="7170C076" w14:textId="0B2DA579">
      <w:pPr>
        <w:pStyle w:val="Corpsdetexte"/>
        <w:ind w:left="-284" w:right="-574"/>
        <w:rPr>
          <w:rFonts w:ascii="Calibri Light" w:hAnsi="Calibri Light" w:cs="Calibri Light"/>
          <w:b/>
          <w:sz w:val="24"/>
          <w:szCs w:val="24"/>
        </w:rPr>
      </w:pPr>
      <w:r w:rsidRPr="00AE71B8">
        <w:rPr>
          <w:rFonts w:ascii="Calibri Light" w:hAnsi="Calibri Light" w:cs="Calibri Light"/>
          <w:b/>
          <w:sz w:val="24"/>
          <w:szCs w:val="24"/>
        </w:rPr>
        <w:t xml:space="preserve">Le </w:t>
      </w:r>
      <w:r w:rsidRPr="00AE71B8" w:rsidR="00C23508">
        <w:rPr>
          <w:rFonts w:ascii="Calibri Light" w:hAnsi="Calibri Light" w:cs="Calibri Light"/>
          <w:b/>
          <w:sz w:val="24"/>
          <w:szCs w:val="24"/>
        </w:rPr>
        <w:t>programme</w:t>
      </w:r>
      <w:r w:rsidR="00665189">
        <w:rPr>
          <w:rFonts w:ascii="Calibri Light" w:hAnsi="Calibri Light" w:cs="Calibri Light"/>
          <w:b/>
          <w:sz w:val="24"/>
          <w:szCs w:val="24"/>
        </w:rPr>
        <w:t>-cycle</w:t>
      </w:r>
      <w:r w:rsidRPr="00AE71B8" w:rsidR="00C23508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2E42A1">
        <w:rPr>
          <w:rFonts w:ascii="Calibri Light" w:hAnsi="Calibri Light" w:cs="Calibri Light"/>
          <w:b/>
          <w:sz w:val="24"/>
          <w:szCs w:val="24"/>
        </w:rPr>
        <w:t>à l’</w:t>
      </w:r>
      <w:r w:rsidRPr="00AE71B8" w:rsidR="00C23508">
        <w:rPr>
          <w:rFonts w:ascii="Calibri Light" w:hAnsi="Calibri Light" w:cs="Calibri Light"/>
          <w:b/>
          <w:sz w:val="24"/>
          <w:szCs w:val="24"/>
        </w:rPr>
        <w:t xml:space="preserve">éducation préscolaire est </w:t>
      </w:r>
      <w:r w:rsidR="00665189">
        <w:rPr>
          <w:rFonts w:ascii="Calibri Light" w:hAnsi="Calibri Light" w:cs="Calibri Light"/>
          <w:b/>
          <w:sz w:val="24"/>
          <w:szCs w:val="24"/>
        </w:rPr>
        <w:t xml:space="preserve">une continuité </w:t>
      </w:r>
      <w:r w:rsidRPr="00AE71B8" w:rsidR="00C23508">
        <w:rPr>
          <w:rFonts w:ascii="Calibri Light" w:hAnsi="Calibri Light" w:cs="Calibri Light"/>
          <w:b/>
          <w:sz w:val="24"/>
          <w:szCs w:val="24"/>
        </w:rPr>
        <w:t xml:space="preserve">du travail que vous avez amorcé avec votre enfant depuis sa naissance.  </w:t>
      </w:r>
    </w:p>
    <w:p w:rsidRPr="00AE71B8" w:rsidR="00C23508" w:rsidP="00645E2E" w:rsidRDefault="00C23508" w14:paraId="324BE9D6" w14:textId="77777777">
      <w:pPr>
        <w:ind w:right="-574"/>
        <w:jc w:val="both"/>
        <w:rPr>
          <w:rFonts w:ascii="Calibri Light" w:hAnsi="Calibri Light" w:cs="Calibri Light"/>
        </w:rPr>
      </w:pPr>
    </w:p>
    <w:p w:rsidRPr="002E42A1" w:rsidR="00C23508" w:rsidP="0008286B" w:rsidRDefault="00C23508" w14:paraId="324BE9D7" w14:textId="4B5F0B5C">
      <w:pPr>
        <w:ind w:left="-284" w:right="-574"/>
        <w:jc w:val="both"/>
        <w:rPr>
          <w:rFonts w:ascii="Calibri Light" w:hAnsi="Calibri Light" w:cs="Calibri Light"/>
        </w:rPr>
      </w:pPr>
      <w:r w:rsidRPr="00AE71B8">
        <w:rPr>
          <w:rFonts w:ascii="Calibri Light" w:hAnsi="Calibri Light" w:cs="Calibri Light"/>
        </w:rPr>
        <w:t xml:space="preserve">Le mandat de l’éducation préscolaire </w:t>
      </w:r>
      <w:r w:rsidR="00645E2E">
        <w:rPr>
          <w:rFonts w:ascii="Calibri Light" w:hAnsi="Calibri Light" w:cs="Calibri Light"/>
        </w:rPr>
        <w:t xml:space="preserve">est </w:t>
      </w:r>
      <w:r w:rsidRPr="002E42A1" w:rsidR="00645E2E">
        <w:rPr>
          <w:rFonts w:ascii="Calibri Light" w:hAnsi="Calibri Light" w:cs="Calibri Light"/>
        </w:rPr>
        <w:t>de</w:t>
      </w:r>
      <w:r w:rsidRPr="002E42A1" w:rsidR="00F35EA3">
        <w:rPr>
          <w:rFonts w:ascii="Calibri Light" w:hAnsi="Calibri Light" w:cs="Calibri Light"/>
        </w:rPr>
        <w:t xml:space="preserve"> favoriser le </w:t>
      </w:r>
      <w:r w:rsidRPr="00D64CDC" w:rsidR="00F35EA3">
        <w:rPr>
          <w:rFonts w:ascii="Calibri Light" w:hAnsi="Calibri Light" w:cs="Calibri Light"/>
          <w:b/>
          <w:bCs/>
        </w:rPr>
        <w:t>développement global</w:t>
      </w:r>
      <w:r w:rsidRPr="002E42A1" w:rsidR="00F35EA3">
        <w:rPr>
          <w:rFonts w:ascii="Calibri Light" w:hAnsi="Calibri Light" w:cs="Calibri Light"/>
        </w:rPr>
        <w:t xml:space="preserve"> de tous les enfants en offrant un milieu de vie sécurisant, bienveillant et inclusif, en cultivant le plaisir d’explorer, de découvrir et d’apprendre</w:t>
      </w:r>
      <w:r w:rsidRPr="002E42A1" w:rsidR="00645E2E">
        <w:rPr>
          <w:rFonts w:ascii="Calibri Light" w:hAnsi="Calibri Light" w:cs="Calibri Light"/>
        </w:rPr>
        <w:t xml:space="preserve"> et </w:t>
      </w:r>
      <w:r w:rsidRPr="002E42A1" w:rsidR="00F35EA3">
        <w:rPr>
          <w:rFonts w:ascii="Calibri Light" w:hAnsi="Calibri Light" w:cs="Calibri Light"/>
        </w:rPr>
        <w:t>en mettant en place les bases de la scolarisation</w:t>
      </w:r>
      <w:r w:rsidRPr="002E42A1" w:rsidR="00645E2E">
        <w:rPr>
          <w:rFonts w:ascii="Calibri Light" w:hAnsi="Calibri Light" w:cs="Calibri Light"/>
        </w:rPr>
        <w:t xml:space="preserve">. De plus, il permet </w:t>
      </w:r>
      <w:r w:rsidRPr="002E42A1" w:rsidR="00F35EA3">
        <w:rPr>
          <w:rFonts w:ascii="Calibri Light" w:hAnsi="Calibri Light" w:cs="Calibri Light"/>
        </w:rPr>
        <w:t>de mettre en œuvre des interventions préventives en procurant des activités de prévention universelle</w:t>
      </w:r>
      <w:r w:rsidRPr="002E42A1" w:rsidR="002E42A1">
        <w:rPr>
          <w:rFonts w:ascii="Calibri Light" w:hAnsi="Calibri Light" w:cs="Calibri Light"/>
        </w:rPr>
        <w:t xml:space="preserve"> et </w:t>
      </w:r>
      <w:r w:rsidRPr="002E42A1" w:rsidR="00F35EA3">
        <w:rPr>
          <w:rFonts w:ascii="Calibri Light" w:hAnsi="Calibri Light" w:cs="Calibri Light"/>
        </w:rPr>
        <w:t>ciblée.</w:t>
      </w:r>
    </w:p>
    <w:p w:rsidRPr="00AE71B8" w:rsidR="00C23508" w:rsidP="0008286B" w:rsidRDefault="00C23508" w14:paraId="324BE9D8" w14:textId="77777777">
      <w:pPr>
        <w:ind w:left="-284" w:right="-574"/>
        <w:jc w:val="both"/>
        <w:rPr>
          <w:rFonts w:ascii="Calibri Light" w:hAnsi="Calibri Light" w:cs="Calibri Light"/>
        </w:rPr>
      </w:pPr>
    </w:p>
    <w:p w:rsidR="004315AF" w:rsidP="004315AF" w:rsidRDefault="008C2FDC" w14:paraId="61F4359F" w14:textId="6D849785">
      <w:pPr>
        <w:ind w:left="-284" w:right="-57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Trois grandes orientations, soit le jeu, l’organisation de la classe et l’observation du cheminement de l’enfant permettront </w:t>
      </w:r>
      <w:r w:rsidR="004315AF">
        <w:rPr>
          <w:rFonts w:ascii="Calibri Light" w:hAnsi="Calibri Light" w:cs="Calibri Light"/>
        </w:rPr>
        <w:t xml:space="preserve">de poursuivre les deux objectifs du mandat à l’éducation préscolaire. </w:t>
      </w:r>
    </w:p>
    <w:p w:rsidR="004315AF" w:rsidP="004315AF" w:rsidRDefault="004315AF" w14:paraId="12B5B032" w14:textId="5F3530C6">
      <w:pPr>
        <w:ind w:left="-284" w:right="-574"/>
        <w:jc w:val="both"/>
        <w:rPr>
          <w:rFonts w:ascii="Calibri Light" w:hAnsi="Calibri Light" w:cs="Calibri Light"/>
        </w:rPr>
      </w:pPr>
    </w:p>
    <w:p w:rsidRPr="007930C3" w:rsidR="004315AF" w:rsidP="004315AF" w:rsidRDefault="007930C3" w14:paraId="169D0821" w14:textId="6D336933">
      <w:pPr>
        <w:ind w:left="-284" w:right="-574"/>
        <w:jc w:val="both"/>
        <w:rPr>
          <w:rFonts w:ascii="Calibri Light" w:hAnsi="Calibri Light" w:cs="Calibri Light"/>
        </w:rPr>
      </w:pPr>
      <w:r w:rsidRPr="007930C3">
        <w:rPr>
          <w:rFonts w:ascii="Calibri Light" w:hAnsi="Calibri Light" w:cs="Calibri Light"/>
        </w:rPr>
        <w:t xml:space="preserve">On reconnaît </w:t>
      </w:r>
      <w:r>
        <w:rPr>
          <w:rFonts w:ascii="Calibri Light" w:hAnsi="Calibri Light" w:cs="Calibri Light"/>
        </w:rPr>
        <w:t>ainsi</w:t>
      </w:r>
      <w:r w:rsidRPr="007930C3">
        <w:rPr>
          <w:rFonts w:ascii="Calibri Light" w:hAnsi="Calibri Light" w:cs="Calibri Light"/>
        </w:rPr>
        <w:t xml:space="preserve"> l’importance et l’apport du jeu pour soutenir le développement global des enfants d’âge préscolaire, notamment pour développer les compétences suivantes : </w:t>
      </w:r>
    </w:p>
    <w:p w:rsidRPr="00AE71B8" w:rsidR="007930C3" w:rsidP="004315AF" w:rsidRDefault="007930C3" w14:paraId="5D65142A" w14:textId="77777777">
      <w:pPr>
        <w:ind w:left="-284" w:right="-574"/>
        <w:jc w:val="both"/>
        <w:rPr>
          <w:rFonts w:ascii="Calibri Light" w:hAnsi="Calibri Light" w:cs="Calibri Light"/>
        </w:rPr>
      </w:pPr>
    </w:p>
    <w:p w:rsidRPr="00AE71B8" w:rsidR="00C23508" w:rsidP="0008286B" w:rsidRDefault="00EA0F8A" w14:paraId="324BE9DA" w14:textId="0ADE9875">
      <w:pPr>
        <w:numPr>
          <w:ilvl w:val="0"/>
          <w:numId w:val="1"/>
        </w:numPr>
        <w:tabs>
          <w:tab w:val="clear" w:pos="360"/>
          <w:tab w:val="num" w:pos="3128"/>
        </w:tabs>
        <w:ind w:left="1776" w:right="-57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Accroître son développement physique et moteur</w:t>
      </w:r>
    </w:p>
    <w:p w:rsidRPr="00AE71B8" w:rsidR="00C23508" w:rsidP="0008286B" w:rsidRDefault="00EA0F8A" w14:paraId="324BE9DB" w14:textId="74908CE8">
      <w:pPr>
        <w:numPr>
          <w:ilvl w:val="0"/>
          <w:numId w:val="1"/>
        </w:numPr>
        <w:tabs>
          <w:tab w:val="clear" w:pos="360"/>
          <w:tab w:val="num" w:pos="1068"/>
        </w:tabs>
        <w:ind w:left="1776" w:right="-57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Construire sa conscience de soi </w:t>
      </w:r>
    </w:p>
    <w:p w:rsidRPr="00AE71B8" w:rsidR="00C23508" w:rsidP="0008286B" w:rsidRDefault="00A164CB" w14:paraId="324BE9DC" w14:textId="06B113B1">
      <w:pPr>
        <w:numPr>
          <w:ilvl w:val="0"/>
          <w:numId w:val="1"/>
        </w:numPr>
        <w:tabs>
          <w:tab w:val="clear" w:pos="360"/>
          <w:tab w:val="num" w:pos="1068"/>
        </w:tabs>
        <w:ind w:left="1776" w:right="-57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Vivre des relations harmonieuses avec les autres</w:t>
      </w:r>
    </w:p>
    <w:p w:rsidRPr="00AE71B8" w:rsidR="00C23508" w:rsidP="0008286B" w:rsidRDefault="00C23508" w14:paraId="324BE9DD" w14:textId="10B0247C">
      <w:pPr>
        <w:numPr>
          <w:ilvl w:val="0"/>
          <w:numId w:val="1"/>
        </w:numPr>
        <w:tabs>
          <w:tab w:val="clear" w:pos="360"/>
          <w:tab w:val="num" w:pos="1068"/>
        </w:tabs>
        <w:ind w:left="1776" w:right="-574"/>
        <w:jc w:val="both"/>
        <w:rPr>
          <w:rFonts w:ascii="Calibri Light" w:hAnsi="Calibri Light" w:cs="Calibri Light"/>
        </w:rPr>
      </w:pPr>
      <w:r w:rsidRPr="00AE71B8">
        <w:rPr>
          <w:rFonts w:ascii="Calibri Light" w:hAnsi="Calibri Light" w:cs="Calibri Light"/>
        </w:rPr>
        <w:t xml:space="preserve">Communiquer </w:t>
      </w:r>
      <w:r w:rsidR="00A164CB">
        <w:rPr>
          <w:rFonts w:ascii="Calibri Light" w:hAnsi="Calibri Light" w:cs="Calibri Light"/>
        </w:rPr>
        <w:t>à l’oral et à l’écrit</w:t>
      </w:r>
    </w:p>
    <w:p w:rsidRPr="00AE71B8" w:rsidR="00C23508" w:rsidP="0008286B" w:rsidRDefault="00A164CB" w14:paraId="324BE9DE" w14:textId="4AA51729">
      <w:pPr>
        <w:numPr>
          <w:ilvl w:val="0"/>
          <w:numId w:val="1"/>
        </w:numPr>
        <w:tabs>
          <w:tab w:val="clear" w:pos="360"/>
          <w:tab w:val="num" w:pos="1068"/>
        </w:tabs>
        <w:ind w:left="1776" w:right="-57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Découvrir le monde qui l’entoure</w:t>
      </w:r>
    </w:p>
    <w:p w:rsidRPr="00AE71B8" w:rsidR="00C23508" w:rsidP="0008286B" w:rsidRDefault="00C23508" w14:paraId="324BE9E0" w14:textId="77777777">
      <w:pPr>
        <w:ind w:left="-284" w:right="-574"/>
        <w:jc w:val="both"/>
        <w:rPr>
          <w:rFonts w:ascii="Calibri Light" w:hAnsi="Calibri Light" w:cs="Calibri Light"/>
        </w:rPr>
      </w:pPr>
    </w:p>
    <w:p w:rsidRPr="00AE71B8" w:rsidR="00C23508" w:rsidP="03029F33" w:rsidRDefault="03029F33" w14:paraId="324BE9E1" w14:textId="6B7E00B4">
      <w:pPr>
        <w:ind w:left="-284" w:right="-574"/>
        <w:jc w:val="both"/>
        <w:rPr>
          <w:rFonts w:ascii="Calibri Light" w:hAnsi="Calibri Light" w:cs="Calibri Light"/>
        </w:rPr>
      </w:pPr>
      <w:r w:rsidRPr="00AE71B8">
        <w:rPr>
          <w:rFonts w:ascii="Calibri Light" w:hAnsi="Calibri Light" w:cs="Calibri Light"/>
        </w:rPr>
        <w:t xml:space="preserve">Vous pourrez récupérer le bulletin de votre enfant par </w:t>
      </w:r>
      <w:proofErr w:type="spellStart"/>
      <w:r w:rsidRPr="00AE71B8">
        <w:rPr>
          <w:rFonts w:ascii="Calibri Light" w:hAnsi="Calibri Light" w:cs="Calibri Light"/>
        </w:rPr>
        <w:t>Mozaïk</w:t>
      </w:r>
      <w:proofErr w:type="spellEnd"/>
      <w:r w:rsidRPr="00AE71B8">
        <w:rPr>
          <w:rFonts w:ascii="Calibri Light" w:hAnsi="Calibri Light" w:cs="Calibri Light"/>
        </w:rPr>
        <w:t xml:space="preserve"> portail parents. Sur sa première page, la légende pour l’appréciation est présentée. L’</w:t>
      </w:r>
      <w:r w:rsidR="00763EFB">
        <w:rPr>
          <w:rFonts w:ascii="Calibri Light" w:hAnsi="Calibri Light" w:cs="Calibri Light"/>
        </w:rPr>
        <w:t>appréciation</w:t>
      </w:r>
      <w:r w:rsidRPr="00AE71B8">
        <w:rPr>
          <w:rFonts w:ascii="Calibri Light" w:hAnsi="Calibri Light" w:cs="Calibri Light"/>
        </w:rPr>
        <w:t xml:space="preserve"> du </w:t>
      </w:r>
      <w:r w:rsidR="00763EFB">
        <w:rPr>
          <w:rFonts w:ascii="Calibri Light" w:hAnsi="Calibri Light" w:cs="Calibri Light"/>
        </w:rPr>
        <w:t xml:space="preserve">cheminement </w:t>
      </w:r>
      <w:r w:rsidRPr="00AE71B8">
        <w:rPr>
          <w:rFonts w:ascii="Calibri Light" w:hAnsi="Calibri Light" w:cs="Calibri Light"/>
        </w:rPr>
        <w:t xml:space="preserve">de votre enfant </w:t>
      </w:r>
      <w:r w:rsidR="00976857">
        <w:rPr>
          <w:rFonts w:ascii="Calibri Light" w:hAnsi="Calibri Light" w:cs="Calibri Light"/>
        </w:rPr>
        <w:t>sera</w:t>
      </w:r>
      <w:r w:rsidRPr="00AE71B8">
        <w:rPr>
          <w:rFonts w:ascii="Calibri Light" w:hAnsi="Calibri Light" w:cs="Calibri Light"/>
        </w:rPr>
        <w:t xml:space="preserve"> </w:t>
      </w:r>
      <w:r w:rsidR="004E4DA8">
        <w:rPr>
          <w:rFonts w:ascii="Calibri Light" w:hAnsi="Calibri Light" w:cs="Calibri Light"/>
        </w:rPr>
        <w:t>enrichie</w:t>
      </w:r>
      <w:r w:rsidRPr="00AE71B8">
        <w:rPr>
          <w:rFonts w:ascii="Calibri Light" w:hAnsi="Calibri Light" w:cs="Calibri Light"/>
        </w:rPr>
        <w:t xml:space="preserve"> par des </w:t>
      </w:r>
      <w:r w:rsidR="004E4DA8">
        <w:rPr>
          <w:rFonts w:ascii="Calibri Light" w:hAnsi="Calibri Light" w:cs="Calibri Light"/>
        </w:rPr>
        <w:t xml:space="preserve">exemples concrets </w:t>
      </w:r>
      <w:r w:rsidRPr="00AE71B8">
        <w:rPr>
          <w:rFonts w:ascii="Calibri Light" w:hAnsi="Calibri Light" w:cs="Calibri Light"/>
        </w:rPr>
        <w:t>(p</w:t>
      </w:r>
      <w:r w:rsidR="00197583">
        <w:rPr>
          <w:rFonts w:ascii="Calibri Light" w:hAnsi="Calibri Light" w:cs="Calibri Light"/>
        </w:rPr>
        <w:t xml:space="preserve">hotos, </w:t>
      </w:r>
      <w:r w:rsidRPr="00AE71B8">
        <w:rPr>
          <w:rFonts w:ascii="Calibri Light" w:hAnsi="Calibri Light" w:cs="Calibri Light"/>
        </w:rPr>
        <w:t xml:space="preserve">dessins, </w:t>
      </w:r>
      <w:r w:rsidR="00197583">
        <w:rPr>
          <w:rFonts w:ascii="Calibri Light" w:hAnsi="Calibri Light" w:cs="Calibri Light"/>
        </w:rPr>
        <w:t>f</w:t>
      </w:r>
      <w:r w:rsidR="00967CBD">
        <w:rPr>
          <w:rFonts w:ascii="Calibri Light" w:hAnsi="Calibri Light" w:cs="Calibri Light"/>
        </w:rPr>
        <w:t>iches anecdotiques, etc.</w:t>
      </w:r>
      <w:r w:rsidRPr="00AE71B8">
        <w:rPr>
          <w:rFonts w:ascii="Calibri Light" w:hAnsi="Calibri Light" w:cs="Calibri Light"/>
        </w:rPr>
        <w:t>) que votre enfant ou moi a</w:t>
      </w:r>
      <w:r w:rsidR="007C12BC">
        <w:rPr>
          <w:rFonts w:ascii="Calibri Light" w:hAnsi="Calibri Light" w:cs="Calibri Light"/>
        </w:rPr>
        <w:t>ur</w:t>
      </w:r>
      <w:r w:rsidRPr="00AE71B8">
        <w:rPr>
          <w:rFonts w:ascii="Calibri Light" w:hAnsi="Calibri Light" w:cs="Calibri Light"/>
        </w:rPr>
        <w:t xml:space="preserve">ons sélectionnés. Vous les retrouverez dans </w:t>
      </w:r>
      <w:r w:rsidR="00BF46B6">
        <w:rPr>
          <w:rFonts w:ascii="Calibri Light" w:hAnsi="Calibri Light" w:cs="Calibri Light"/>
        </w:rPr>
        <w:t xml:space="preserve">un </w:t>
      </w:r>
      <w:r w:rsidRPr="00AE71B8">
        <w:rPr>
          <w:rFonts w:ascii="Calibri Light" w:hAnsi="Calibri Light" w:cs="Calibri Light"/>
        </w:rPr>
        <w:t>dossier d’apprentissage (portfolio</w:t>
      </w:r>
      <w:r w:rsidR="00BF46B6">
        <w:rPr>
          <w:rFonts w:ascii="Calibri Light" w:hAnsi="Calibri Light" w:cs="Calibri Light"/>
        </w:rPr>
        <w:t>, journal, etc.</w:t>
      </w:r>
      <w:r w:rsidRPr="00AE71B8">
        <w:rPr>
          <w:rFonts w:ascii="Calibri Light" w:hAnsi="Calibri Light" w:cs="Calibri Light"/>
        </w:rPr>
        <w:t xml:space="preserve">). </w:t>
      </w:r>
    </w:p>
    <w:p w:rsidR="00C23508" w:rsidP="0008286B" w:rsidRDefault="00C23508" w14:paraId="324BE9E2" w14:textId="5A316A69">
      <w:pPr>
        <w:ind w:left="-284" w:right="-574"/>
        <w:jc w:val="both"/>
        <w:rPr>
          <w:rFonts w:ascii="Calibri Light" w:hAnsi="Calibri Light" w:cs="Calibri Light"/>
        </w:rPr>
      </w:pPr>
    </w:p>
    <w:tbl>
      <w:tblPr>
        <w:tblStyle w:val="Grilledutableau"/>
        <w:tblpPr w:leftFromText="141" w:rightFromText="141" w:vertAnchor="text" w:horzAnchor="margin" w:tblpXSpec="center" w:tblpY="40"/>
        <w:tblW w:w="9699" w:type="dxa"/>
        <w:tblLook w:val="04A0" w:firstRow="1" w:lastRow="0" w:firstColumn="1" w:lastColumn="0" w:noHBand="0" w:noVBand="1"/>
      </w:tblPr>
      <w:tblGrid>
        <w:gridCol w:w="2411"/>
        <w:gridCol w:w="1417"/>
        <w:gridCol w:w="1418"/>
        <w:gridCol w:w="1417"/>
        <w:gridCol w:w="1418"/>
        <w:gridCol w:w="1618"/>
      </w:tblGrid>
      <w:tr w:rsidR="003F0FE1" w:rsidTr="003F0FE1" w14:paraId="687E90B3" w14:textId="77777777">
        <w:tc>
          <w:tcPr>
            <w:tcW w:w="9699" w:type="dxa"/>
            <w:gridSpan w:val="6"/>
            <w:shd w:val="clear" w:color="auto" w:fill="BFBFBF" w:themeFill="background1" w:themeFillShade="BF"/>
          </w:tcPr>
          <w:p w:rsidRPr="00DB2C24" w:rsidR="003F0FE1" w:rsidP="003F0FE1" w:rsidRDefault="003F0FE1" w14:paraId="525380BC" w14:textId="77777777">
            <w:pPr>
              <w:spacing w:before="120" w:after="120"/>
              <w:ind w:right="27"/>
              <w:jc w:val="center"/>
              <w:rPr>
                <w:rFonts w:ascii="Comic Sans MS" w:hAnsi="Comic Sans MS"/>
                <w:b/>
              </w:rPr>
            </w:pPr>
            <w:r w:rsidRPr="00DB2C24">
              <w:rPr>
                <w:rFonts w:ascii="Comic Sans MS" w:hAnsi="Comic Sans MS"/>
                <w:b/>
              </w:rPr>
              <w:t>Évaluation des compétences</w:t>
            </w:r>
          </w:p>
        </w:tc>
      </w:tr>
      <w:tr w:rsidR="003F0FE1" w:rsidTr="003F0FE1" w14:paraId="3125F9AC" w14:textId="77777777">
        <w:tc>
          <w:tcPr>
            <w:tcW w:w="2411" w:type="dxa"/>
            <w:shd w:val="clear" w:color="auto" w:fill="F2F2F2" w:themeFill="background1" w:themeFillShade="F2"/>
          </w:tcPr>
          <w:p w:rsidR="003F0FE1" w:rsidP="003F0FE1" w:rsidRDefault="003F0FE1" w14:paraId="5A820C27" w14:textId="77777777">
            <w:pPr>
              <w:ind w:right="27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038DEF" wp14:editId="3868C91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12065</wp:posOffset>
                      </wp:positionV>
                      <wp:extent cx="1504950" cy="409575"/>
                      <wp:effectExtent l="0" t="0" r="19050" b="28575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04950" cy="4095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2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1pt" from="-4.7pt,.95pt" to="113.8pt,33.2pt" w14:anchorId="2FFFC9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"/>
                  </w:pict>
                </mc:Fallback>
              </mc:AlternateContent>
            </w:r>
            <w:r>
              <w:rPr>
                <w:rFonts w:ascii="Comic Sans MS" w:hAnsi="Comic Sans MS"/>
              </w:rPr>
              <w:t>Étapes</w:t>
            </w:r>
          </w:p>
          <w:p w:rsidRPr="00DB2C24" w:rsidR="003F0FE1" w:rsidP="003F0FE1" w:rsidRDefault="003F0FE1" w14:paraId="4A1907F0" w14:textId="77777777">
            <w:pPr>
              <w:ind w:right="27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</w:t>
            </w:r>
            <w:r w:rsidRPr="00DB2C24">
              <w:rPr>
                <w:rFonts w:ascii="Comic Sans MS" w:hAnsi="Comic Sans MS"/>
              </w:rPr>
              <w:t>Compétences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Pr="00DB2C24" w:rsidR="003F0FE1" w:rsidP="003F0FE1" w:rsidRDefault="003F0FE1" w14:paraId="3D525EE0" w14:textId="77777777">
            <w:pPr>
              <w:spacing w:before="120" w:after="120"/>
              <w:ind w:right="27"/>
              <w:rPr>
                <w:rFonts w:ascii="Comic Sans MS" w:hAnsi="Comic Sans MS"/>
              </w:rPr>
            </w:pPr>
            <w:r w:rsidRPr="00DB2C24">
              <w:rPr>
                <w:rFonts w:ascii="Comic Sans MS" w:hAnsi="Comic Sans MS"/>
              </w:rPr>
              <w:t xml:space="preserve">      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Pr="00DB2C24" w:rsidR="003F0FE1" w:rsidP="003F0FE1" w:rsidRDefault="003F0FE1" w14:paraId="1C0E854E" w14:textId="77777777">
            <w:pPr>
              <w:spacing w:before="120" w:after="120"/>
              <w:ind w:right="27"/>
              <w:rPr>
                <w:rFonts w:ascii="Comic Sans MS" w:hAnsi="Comic Sans MS"/>
              </w:rPr>
            </w:pPr>
            <w:r w:rsidRPr="00DB2C24">
              <w:rPr>
                <w:rFonts w:ascii="Comic Sans MS" w:hAnsi="Comic Sans MS"/>
              </w:rPr>
              <w:t xml:space="preserve">      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Pr="00DB2C24" w:rsidR="003F0FE1" w:rsidP="003F0FE1" w:rsidRDefault="003F0FE1" w14:paraId="741CB136" w14:textId="77777777">
            <w:pPr>
              <w:spacing w:before="120" w:after="120"/>
              <w:ind w:right="27"/>
              <w:rPr>
                <w:rFonts w:ascii="Comic Sans MS" w:hAnsi="Comic Sans MS"/>
              </w:rPr>
            </w:pPr>
            <w:r w:rsidRPr="00DB2C24">
              <w:rPr>
                <w:rFonts w:ascii="Comic Sans MS" w:hAnsi="Comic Sans MS"/>
              </w:rPr>
              <w:t xml:space="preserve">      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Pr="00DB2C24" w:rsidR="003F0FE1" w:rsidP="003F0FE1" w:rsidRDefault="003F0FE1" w14:paraId="0BC76772" w14:textId="77777777">
            <w:pPr>
              <w:spacing w:before="120" w:after="120"/>
              <w:ind w:right="27"/>
              <w:rPr>
                <w:rFonts w:ascii="Comic Sans MS" w:hAnsi="Comic Sans MS"/>
              </w:rPr>
            </w:pPr>
            <w:r w:rsidRPr="00DB2C24">
              <w:rPr>
                <w:rFonts w:ascii="Comic Sans MS" w:hAnsi="Comic Sans MS"/>
              </w:rPr>
              <w:t xml:space="preserve">      4</w:t>
            </w:r>
          </w:p>
        </w:tc>
        <w:tc>
          <w:tcPr>
            <w:tcW w:w="1618" w:type="dxa"/>
            <w:shd w:val="clear" w:color="auto" w:fill="F2F2F2" w:themeFill="background1" w:themeFillShade="F2"/>
          </w:tcPr>
          <w:p w:rsidRPr="00DB2C24" w:rsidR="003F0FE1" w:rsidP="003F0FE1" w:rsidRDefault="003F0FE1" w14:paraId="7BD83995" w14:textId="77777777">
            <w:pPr>
              <w:spacing w:before="120" w:after="120"/>
              <w:ind w:right="27"/>
              <w:rPr>
                <w:rFonts w:ascii="Comic Sans MS" w:hAnsi="Comic Sans MS"/>
              </w:rPr>
            </w:pPr>
            <w:r w:rsidRPr="00DB2C24">
              <w:rPr>
                <w:rFonts w:ascii="Comic Sans MS" w:hAnsi="Comic Sans MS"/>
              </w:rPr>
              <w:t xml:space="preserve">      5</w:t>
            </w:r>
          </w:p>
        </w:tc>
      </w:tr>
      <w:tr w:rsidR="003F0FE1" w:rsidTr="003F0FE1" w14:paraId="14D05FA2" w14:textId="77777777">
        <w:tc>
          <w:tcPr>
            <w:tcW w:w="2411" w:type="dxa"/>
            <w:shd w:val="clear" w:color="auto" w:fill="F2F2F2" w:themeFill="background1" w:themeFillShade="F2"/>
          </w:tcPr>
          <w:p w:rsidR="003F0FE1" w:rsidP="003F0FE1" w:rsidRDefault="003F0FE1" w14:paraId="18E80EBB" w14:textId="77777777">
            <w:pPr>
              <w:ind w:right="2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Pr="00C33267">
              <w:rPr>
                <w:rFonts w:ascii="Comic Sans MS" w:hAnsi="Comic Sans MS"/>
                <w:vertAlign w:val="superscript"/>
              </w:rPr>
              <w:t>re</w:t>
            </w:r>
            <w:r>
              <w:rPr>
                <w:rFonts w:ascii="Comic Sans MS" w:hAnsi="Comic Sans MS"/>
              </w:rPr>
              <w:t xml:space="preserve"> (novembre)</w:t>
            </w:r>
          </w:p>
        </w:tc>
        <w:tc>
          <w:tcPr>
            <w:tcW w:w="1417" w:type="dxa"/>
          </w:tcPr>
          <w:p w:rsidR="003F0FE1" w:rsidP="006064A1" w:rsidRDefault="006064A1" w14:paraId="1989EE35" w14:textId="74D066D9">
            <w:pPr>
              <w:ind w:right="27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  <w:tc>
          <w:tcPr>
            <w:tcW w:w="1418" w:type="dxa"/>
          </w:tcPr>
          <w:p w:rsidR="003F0FE1" w:rsidP="006064A1" w:rsidRDefault="003F0FE1" w14:paraId="5B842BA9" w14:textId="5A850C4B">
            <w:pPr>
              <w:ind w:right="27"/>
              <w:jc w:val="center"/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3F0FE1" w:rsidP="006064A1" w:rsidRDefault="003F0FE1" w14:paraId="788BEC60" w14:textId="3D357748">
            <w:pPr>
              <w:ind w:right="27"/>
              <w:jc w:val="center"/>
              <w:rPr>
                <w:rFonts w:ascii="Comic Sans MS" w:hAnsi="Comic Sans MS"/>
              </w:rPr>
            </w:pPr>
          </w:p>
        </w:tc>
        <w:tc>
          <w:tcPr>
            <w:tcW w:w="1418" w:type="dxa"/>
          </w:tcPr>
          <w:p w:rsidR="003F0FE1" w:rsidP="00CE47CC" w:rsidRDefault="00CE47CC" w14:paraId="2AF813FD" w14:textId="472DDD6C">
            <w:pPr>
              <w:ind w:right="27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  <w:tc>
          <w:tcPr>
            <w:tcW w:w="1618" w:type="dxa"/>
          </w:tcPr>
          <w:p w:rsidR="003F0FE1" w:rsidP="00CE47CC" w:rsidRDefault="00CE47CC" w14:paraId="0A23A728" w14:textId="5A443BFA">
            <w:pPr>
              <w:ind w:right="27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</w:tr>
      <w:tr w:rsidR="003F0FE1" w:rsidTr="003F0FE1" w14:paraId="71E010E0" w14:textId="77777777">
        <w:tc>
          <w:tcPr>
            <w:tcW w:w="2411" w:type="dxa"/>
            <w:shd w:val="clear" w:color="auto" w:fill="F2F2F2" w:themeFill="background1" w:themeFillShade="F2"/>
          </w:tcPr>
          <w:p w:rsidR="003F0FE1" w:rsidP="003F0FE1" w:rsidRDefault="003F0FE1" w14:paraId="18F182E0" w14:textId="77777777">
            <w:pPr>
              <w:ind w:right="2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Pr="00C33267">
              <w:rPr>
                <w:rFonts w:ascii="Comic Sans MS" w:hAnsi="Comic Sans MS"/>
                <w:vertAlign w:val="superscript"/>
              </w:rPr>
              <w:t>e</w:t>
            </w:r>
            <w:r>
              <w:rPr>
                <w:rFonts w:ascii="Comic Sans MS" w:hAnsi="Comic Sans MS"/>
              </w:rPr>
              <w:t xml:space="preserve"> (mars)</w:t>
            </w:r>
          </w:p>
        </w:tc>
        <w:tc>
          <w:tcPr>
            <w:tcW w:w="1417" w:type="dxa"/>
          </w:tcPr>
          <w:p w:rsidR="003F0FE1" w:rsidP="00CE47CC" w:rsidRDefault="00CE47CC" w14:paraId="0436879F" w14:textId="65F53662">
            <w:pPr>
              <w:ind w:right="27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  <w:tc>
          <w:tcPr>
            <w:tcW w:w="1418" w:type="dxa"/>
          </w:tcPr>
          <w:p w:rsidR="003F0FE1" w:rsidP="00CE47CC" w:rsidRDefault="00CE47CC" w14:paraId="3AFD93BD" w14:textId="0B343A53">
            <w:pPr>
              <w:ind w:right="27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  <w:tc>
          <w:tcPr>
            <w:tcW w:w="1417" w:type="dxa"/>
          </w:tcPr>
          <w:p w:rsidR="003F0FE1" w:rsidP="00CE47CC" w:rsidRDefault="00CE47CC" w14:paraId="2D197D3F" w14:textId="6DAE4B21">
            <w:pPr>
              <w:ind w:right="27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  <w:tc>
          <w:tcPr>
            <w:tcW w:w="1418" w:type="dxa"/>
          </w:tcPr>
          <w:p w:rsidR="003F0FE1" w:rsidP="006064A1" w:rsidRDefault="006064A1" w14:paraId="45E6AD95" w14:textId="3C724C2B">
            <w:pPr>
              <w:ind w:right="27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  <w:tc>
          <w:tcPr>
            <w:tcW w:w="1618" w:type="dxa"/>
          </w:tcPr>
          <w:p w:rsidR="003F0FE1" w:rsidP="006064A1" w:rsidRDefault="00CE47CC" w14:paraId="3D9E02D9" w14:textId="3C59BAEF">
            <w:pPr>
              <w:ind w:right="27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</w:tr>
      <w:tr w:rsidR="003F0FE1" w:rsidTr="003F0FE1" w14:paraId="4D5D8D53" w14:textId="77777777">
        <w:tc>
          <w:tcPr>
            <w:tcW w:w="2411" w:type="dxa"/>
            <w:shd w:val="clear" w:color="auto" w:fill="F2F2F2" w:themeFill="background1" w:themeFillShade="F2"/>
          </w:tcPr>
          <w:p w:rsidR="003F0FE1" w:rsidP="003F0FE1" w:rsidRDefault="003F0FE1" w14:paraId="3BF45D9B" w14:textId="77777777">
            <w:pPr>
              <w:ind w:right="2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 w:rsidRPr="00FD4779">
              <w:rPr>
                <w:rFonts w:ascii="Comic Sans MS" w:hAnsi="Comic Sans MS"/>
                <w:vertAlign w:val="superscript"/>
              </w:rPr>
              <w:t>e</w:t>
            </w:r>
            <w:r>
              <w:rPr>
                <w:rFonts w:ascii="Comic Sans MS" w:hAnsi="Comic Sans MS"/>
              </w:rPr>
              <w:t xml:space="preserve"> (juin)</w:t>
            </w:r>
          </w:p>
        </w:tc>
        <w:tc>
          <w:tcPr>
            <w:tcW w:w="1417" w:type="dxa"/>
          </w:tcPr>
          <w:p w:rsidR="003F0FE1" w:rsidP="00CE47CC" w:rsidRDefault="003F0FE1" w14:paraId="28B7E371" w14:textId="59652968">
            <w:pPr>
              <w:ind w:right="27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  <w:tc>
          <w:tcPr>
            <w:tcW w:w="1418" w:type="dxa"/>
          </w:tcPr>
          <w:p w:rsidR="003F0FE1" w:rsidP="00CE47CC" w:rsidRDefault="003F0FE1" w14:paraId="319D419D" w14:textId="18F258AB">
            <w:pPr>
              <w:ind w:right="27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  <w:tc>
          <w:tcPr>
            <w:tcW w:w="1417" w:type="dxa"/>
          </w:tcPr>
          <w:p w:rsidR="003F0FE1" w:rsidP="00CE47CC" w:rsidRDefault="003F0FE1" w14:paraId="78EAFC86" w14:textId="24406274">
            <w:pPr>
              <w:ind w:right="27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  <w:tc>
          <w:tcPr>
            <w:tcW w:w="1418" w:type="dxa"/>
          </w:tcPr>
          <w:p w:rsidR="003F0FE1" w:rsidP="00CE47CC" w:rsidRDefault="003F0FE1" w14:paraId="69E68E5F" w14:textId="57480C21">
            <w:pPr>
              <w:ind w:right="27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  <w:tc>
          <w:tcPr>
            <w:tcW w:w="1618" w:type="dxa"/>
          </w:tcPr>
          <w:p w:rsidR="003F0FE1" w:rsidP="00CE47CC" w:rsidRDefault="003F0FE1" w14:paraId="4CF0CFB7" w14:textId="02062A14">
            <w:pPr>
              <w:ind w:right="27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</w:tr>
    </w:tbl>
    <w:p w:rsidRPr="00FC3DF2" w:rsidR="003F0FE1" w:rsidP="003F0FE1" w:rsidRDefault="003F0FE1" w14:paraId="3E357B47" w14:textId="77777777">
      <w:pPr>
        <w:ind w:left="-284" w:right="27"/>
        <w:jc w:val="both"/>
        <w:rPr>
          <w:rFonts w:ascii="Comic Sans MS" w:hAnsi="Comic Sans MS"/>
          <w:sz w:val="22"/>
          <w:szCs w:val="22"/>
        </w:rPr>
      </w:pPr>
    </w:p>
    <w:p w:rsidRPr="00AE71B8" w:rsidR="00C23508" w:rsidP="6FDCF3CF" w:rsidRDefault="005F6F21" w14:paraId="324BE9E3" w14:textId="1D9533E8">
      <w:pPr>
        <w:ind w:left="-284" w:right="27"/>
        <w:jc w:val="both"/>
        <w:rPr>
          <w:rFonts w:ascii="Calibri Light" w:hAnsi="Calibri Light" w:cs="Calibri Light"/>
        </w:rPr>
      </w:pPr>
      <w:r w:rsidRPr="6FDCF3CF" w:rsidR="005F6F21">
        <w:rPr>
          <w:rFonts w:ascii="Calibri Light" w:hAnsi="Calibri Light" w:cs="Calibri Light"/>
        </w:rPr>
        <w:t xml:space="preserve">Se mobiliser autour de l’enfant est une responsabilité partagée. </w:t>
      </w:r>
      <w:r w:rsidRPr="6FDCF3CF" w:rsidR="00C23508">
        <w:rPr>
          <w:rFonts w:ascii="Calibri Light" w:hAnsi="Calibri Light" w:cs="Calibri Light"/>
        </w:rPr>
        <w:t xml:space="preserve">C’est ensemble, parents et enseignant(e), que nous pourrons contribuer à l’épanouissement de votre </w:t>
      </w:r>
      <w:r w:rsidRPr="6FDCF3CF" w:rsidR="00807DAB">
        <w:rPr>
          <w:rFonts w:ascii="Calibri Light" w:hAnsi="Calibri Light" w:cs="Calibri Light"/>
        </w:rPr>
        <w:t xml:space="preserve">enfant et </w:t>
      </w:r>
      <w:r w:rsidRPr="6FDCF3CF" w:rsidR="006560C8">
        <w:rPr>
          <w:rFonts w:ascii="Calibri Light" w:hAnsi="Calibri Light" w:cs="Calibri Light"/>
        </w:rPr>
        <w:t xml:space="preserve">au développement de son plein potentiel. </w:t>
      </w:r>
    </w:p>
    <w:p w:rsidRPr="00AE71B8" w:rsidR="00443C06" w:rsidP="0008286B" w:rsidRDefault="00443C06" w14:paraId="31070C2B" w14:textId="77777777">
      <w:pPr>
        <w:spacing w:line="360" w:lineRule="auto"/>
        <w:ind w:left="-284" w:right="-574"/>
        <w:jc w:val="both"/>
        <w:rPr>
          <w:rFonts w:ascii="Calibri Light" w:hAnsi="Calibri Light" w:cs="Calibri Light"/>
          <w:sz w:val="22"/>
          <w:szCs w:val="22"/>
        </w:rPr>
      </w:pPr>
      <w:r w:rsidRPr="00AE71B8">
        <w:rPr>
          <w:rFonts w:ascii="Calibri Light" w:hAnsi="Calibri Light" w:cs="Calibri Light"/>
          <w:sz w:val="22"/>
          <w:szCs w:val="22"/>
        </w:rPr>
        <w:t xml:space="preserve">  </w:t>
      </w:r>
    </w:p>
    <w:p w:rsidRPr="00AE71B8" w:rsidR="0008286B" w:rsidP="001B7D1D" w:rsidRDefault="00443C06" w14:paraId="324BE9E6" w14:textId="28F23072">
      <w:pPr>
        <w:spacing w:line="360" w:lineRule="auto"/>
        <w:ind w:left="-284" w:right="-574"/>
        <w:jc w:val="right"/>
        <w:rPr>
          <w:rFonts w:ascii="Calibri Light" w:hAnsi="Calibri Light" w:cs="Calibri Light"/>
          <w:sz w:val="40"/>
          <w:szCs w:val="40"/>
        </w:rPr>
      </w:pPr>
      <w:r w:rsidRPr="00AE71B8">
        <w:rPr>
          <w:rFonts w:ascii="Calibri Light" w:hAnsi="Calibri Light" w:cs="Calibri Light"/>
          <w:sz w:val="40"/>
          <w:szCs w:val="40"/>
        </w:rPr>
        <w:t>Bonne année scolaire!</w:t>
      </w:r>
    </w:p>
    <w:sectPr w:rsidRPr="00AE71B8" w:rsidR="0008286B" w:rsidSect="001B7D1D">
      <w:pgSz w:w="12240" w:h="15840" w:orient="portrait"/>
      <w:pgMar w:top="1440" w:right="1800" w:bottom="709" w:left="180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65021" w:rsidP="00C23508" w:rsidRDefault="00B65021" w14:paraId="1D24CB49" w14:textId="77777777">
      <w:r>
        <w:separator/>
      </w:r>
    </w:p>
  </w:endnote>
  <w:endnote w:type="continuationSeparator" w:id="0">
    <w:p w:rsidR="00B65021" w:rsidP="00C23508" w:rsidRDefault="00B65021" w14:paraId="76A0B81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65021" w:rsidP="00C23508" w:rsidRDefault="00B65021" w14:paraId="4A97B362" w14:textId="77777777">
      <w:r>
        <w:separator/>
      </w:r>
    </w:p>
  </w:footnote>
  <w:footnote w:type="continuationSeparator" w:id="0">
    <w:p w:rsidR="00B65021" w:rsidP="00C23508" w:rsidRDefault="00B65021" w14:paraId="2804AD3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A7BB0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82137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56"/>
    <w:rsid w:val="0008286B"/>
    <w:rsid w:val="000858B1"/>
    <w:rsid w:val="00085D3B"/>
    <w:rsid w:val="00093899"/>
    <w:rsid w:val="000E4F0C"/>
    <w:rsid w:val="00124E6F"/>
    <w:rsid w:val="001670FD"/>
    <w:rsid w:val="00197583"/>
    <w:rsid w:val="001B7D1D"/>
    <w:rsid w:val="001C3B54"/>
    <w:rsid w:val="002654E3"/>
    <w:rsid w:val="002A0DDC"/>
    <w:rsid w:val="002E42A1"/>
    <w:rsid w:val="00376762"/>
    <w:rsid w:val="003A07DA"/>
    <w:rsid w:val="003F0FE1"/>
    <w:rsid w:val="004315AF"/>
    <w:rsid w:val="00443C06"/>
    <w:rsid w:val="004E4DA8"/>
    <w:rsid w:val="0052528C"/>
    <w:rsid w:val="005C1D7B"/>
    <w:rsid w:val="005F6F21"/>
    <w:rsid w:val="006064A1"/>
    <w:rsid w:val="0061262C"/>
    <w:rsid w:val="00612D25"/>
    <w:rsid w:val="00636FD7"/>
    <w:rsid w:val="00645E2E"/>
    <w:rsid w:val="0065217C"/>
    <w:rsid w:val="006560C8"/>
    <w:rsid w:val="00665189"/>
    <w:rsid w:val="006703CD"/>
    <w:rsid w:val="00692701"/>
    <w:rsid w:val="006F5F5C"/>
    <w:rsid w:val="00706581"/>
    <w:rsid w:val="007244E5"/>
    <w:rsid w:val="00763EFB"/>
    <w:rsid w:val="00777245"/>
    <w:rsid w:val="007930C3"/>
    <w:rsid w:val="007C12BC"/>
    <w:rsid w:val="00807DAB"/>
    <w:rsid w:val="008638E9"/>
    <w:rsid w:val="008C2FDC"/>
    <w:rsid w:val="00924CA3"/>
    <w:rsid w:val="00967CBD"/>
    <w:rsid w:val="00976857"/>
    <w:rsid w:val="00983098"/>
    <w:rsid w:val="009C57B7"/>
    <w:rsid w:val="009E3BD7"/>
    <w:rsid w:val="00A164CB"/>
    <w:rsid w:val="00A5346D"/>
    <w:rsid w:val="00A74A72"/>
    <w:rsid w:val="00AC348E"/>
    <w:rsid w:val="00AE71B8"/>
    <w:rsid w:val="00B65021"/>
    <w:rsid w:val="00BB4DC3"/>
    <w:rsid w:val="00BF2951"/>
    <w:rsid w:val="00BF46B6"/>
    <w:rsid w:val="00C23508"/>
    <w:rsid w:val="00C6695C"/>
    <w:rsid w:val="00CE47CC"/>
    <w:rsid w:val="00D5307D"/>
    <w:rsid w:val="00D64CDC"/>
    <w:rsid w:val="00DB3C34"/>
    <w:rsid w:val="00DE4E56"/>
    <w:rsid w:val="00EA0F8A"/>
    <w:rsid w:val="00F251F9"/>
    <w:rsid w:val="00F35EA3"/>
    <w:rsid w:val="00F767C6"/>
    <w:rsid w:val="00FB18C8"/>
    <w:rsid w:val="03029F33"/>
    <w:rsid w:val="6FDCF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BE9D0"/>
  <w15:docId w15:val="{DA0C95F0-ADE7-408E-B533-3D261A0B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2350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fr-CA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C23508"/>
    <w:rPr>
      <w:sz w:val="20"/>
      <w:szCs w:val="20"/>
      <w:lang w:eastAsia="fr-FR"/>
    </w:rPr>
  </w:style>
  <w:style w:type="character" w:styleId="NotedebasdepageCar" w:customStyle="1">
    <w:name w:val="Note de bas de page Car"/>
    <w:basedOn w:val="Policepardfaut"/>
    <w:link w:val="Notedebasdepage"/>
    <w:semiHidden/>
    <w:rsid w:val="00C23508"/>
    <w:rPr>
      <w:rFonts w:ascii="Times New Roman" w:hAnsi="Times New Roman" w:eastAsia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C23508"/>
    <w:pPr>
      <w:jc w:val="both"/>
    </w:pPr>
    <w:rPr>
      <w:rFonts w:ascii="Comic Sans MS" w:hAnsi="Comic Sans MS"/>
      <w:sz w:val="22"/>
      <w:szCs w:val="20"/>
      <w:lang w:eastAsia="fr-FR"/>
    </w:rPr>
  </w:style>
  <w:style w:type="character" w:styleId="CorpsdetexteCar" w:customStyle="1">
    <w:name w:val="Corps de texte Car"/>
    <w:basedOn w:val="Policepardfaut"/>
    <w:link w:val="Corpsdetexte"/>
    <w:rsid w:val="00C23508"/>
    <w:rPr>
      <w:rFonts w:ascii="Comic Sans MS" w:hAnsi="Comic Sans MS" w:eastAsia="Times New Roman" w:cs="Times New Roman"/>
      <w:szCs w:val="20"/>
      <w:lang w:eastAsia="fr-FR"/>
    </w:rPr>
  </w:style>
  <w:style w:type="character" w:styleId="Appelnotedebasdep">
    <w:name w:val="footnote reference"/>
    <w:semiHidden/>
    <w:rsid w:val="00C23508"/>
    <w:rPr>
      <w:vertAlign w:val="superscript"/>
    </w:rPr>
  </w:style>
  <w:style w:type="character" w:styleId="Lienhypertexte">
    <w:name w:val="Hyperlink"/>
    <w:rsid w:val="0008286B"/>
    <w:rPr>
      <w:rFonts w:hint="default" w:ascii="Verdana" w:hAnsi="Verdana"/>
      <w:i w:val="0"/>
      <w:iCs w:val="0"/>
      <w:color w:val="336699"/>
      <w:sz w:val="20"/>
      <w:szCs w:val="20"/>
      <w:u w:val="single"/>
    </w:rPr>
  </w:style>
  <w:style w:type="paragraph" w:styleId="En-tte">
    <w:name w:val="header"/>
    <w:basedOn w:val="Normal"/>
    <w:link w:val="En-tteCar"/>
    <w:uiPriority w:val="99"/>
    <w:unhideWhenUsed/>
    <w:rsid w:val="003A07DA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3A07DA"/>
    <w:rPr>
      <w:rFonts w:ascii="Times New Roman" w:hAnsi="Times New Roman" w:eastAsia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3A07DA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3A07DA"/>
    <w:rPr>
      <w:rFonts w:ascii="Times New Roman" w:hAnsi="Times New Roman" w:eastAsia="Times New Roman" w:cs="Times New Roman"/>
      <w:sz w:val="24"/>
      <w:szCs w:val="24"/>
      <w:lang w:eastAsia="fr-CA"/>
    </w:rPr>
  </w:style>
  <w:style w:type="paragraph" w:styleId="NormalWeb">
    <w:name w:val="Normal (Web)"/>
    <w:basedOn w:val="Normal"/>
    <w:uiPriority w:val="99"/>
    <w:semiHidden/>
    <w:unhideWhenUsed/>
    <w:rsid w:val="00692701"/>
    <w:pPr>
      <w:spacing w:before="100" w:beforeAutospacing="1" w:after="100" w:afterAutospacing="1"/>
    </w:pPr>
    <w:rPr>
      <w:rFonts w:eastAsiaTheme="minorEastAsia"/>
    </w:rPr>
  </w:style>
  <w:style w:type="character" w:styleId="Lienhypertextesuivivisit">
    <w:name w:val="FollowedHyperlink"/>
    <w:basedOn w:val="Policepardfaut"/>
    <w:uiPriority w:val="99"/>
    <w:semiHidden/>
    <w:unhideWhenUsed/>
    <w:rsid w:val="00976857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3F0F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cid:image002.jpg@01D68DCD.88696930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babc32-190a-4092-8ce6-2329c1bd600f" xsi:nil="true"/>
    <lcf76f155ced4ddcb4097134ff3c332f xmlns="7e8dd3d6-5f53-4210-81e2-d41bf6880ced">
      <Terms xmlns="http://schemas.microsoft.com/office/infopath/2007/PartnerControls"/>
    </lcf76f155ced4ddcb4097134ff3c332f>
    <SharedWithUsers xmlns="79babc32-190a-4092-8ce6-2329c1bd600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5AEAFC6C2F04990C98A9BE6D3B8E0" ma:contentTypeVersion="20" ma:contentTypeDescription="Crée un document." ma:contentTypeScope="" ma:versionID="03d7711e222ff1b70e8fae4bfe1d76f7">
  <xsd:schema xmlns:xsd="http://www.w3.org/2001/XMLSchema" xmlns:xs="http://www.w3.org/2001/XMLSchema" xmlns:p="http://schemas.microsoft.com/office/2006/metadata/properties" xmlns:ns2="7e8dd3d6-5f53-4210-81e2-d41bf6880ced" xmlns:ns3="79babc32-190a-4092-8ce6-2329c1bd600f" targetNamespace="http://schemas.microsoft.com/office/2006/metadata/properties" ma:root="true" ma:fieldsID="96b5186ab5c9c298c3724b7cdb808cbc" ns2:_="" ns3:_="">
    <xsd:import namespace="7e8dd3d6-5f53-4210-81e2-d41bf6880ced"/>
    <xsd:import namespace="79babc32-190a-4092-8ce6-2329c1bd6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dd3d6-5f53-4210-81e2-d41bf6880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2cbefe3-584c-4042-9740-65c383188d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abc32-190a-4092-8ce6-2329c1bd60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f6e193-2393-482d-ac17-4aab58cdd612}" ma:internalName="TaxCatchAll" ma:showField="CatchAllData" ma:web="79babc32-190a-4092-8ce6-2329c1bd6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CF484C-C2D3-4CF0-9C5E-6ED853B1CCDB}">
  <ds:schemaRefs>
    <ds:schemaRef ds:uri="http://purl.org/dc/elements/1.1/"/>
    <ds:schemaRef ds:uri="http://purl.org/dc/dcmitype/"/>
    <ds:schemaRef ds:uri="http://schemas.microsoft.com/office/2006/documentManagement/types"/>
    <ds:schemaRef ds:uri="79babc32-190a-4092-8ce6-2329c1bd600f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e8dd3d6-5f53-4210-81e2-d41bf6880ced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8A8C4B7-CDB4-41A7-A5D5-07010D26C86E}"/>
</file>

<file path=customXml/itemProps3.xml><?xml version="1.0" encoding="utf-8"?>
<ds:datastoreItem xmlns:ds="http://schemas.openxmlformats.org/officeDocument/2006/customXml" ds:itemID="{67E0FCCE-E5AE-46D3-A1F3-FACB318DBFF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BLAIS Sylvie</dc:creator>
  <cp:lastModifiedBy>Maude Berthelette Lachance</cp:lastModifiedBy>
  <cp:revision>3</cp:revision>
  <dcterms:created xsi:type="dcterms:W3CDTF">2024-09-03T15:43:00Z</dcterms:created>
  <dcterms:modified xsi:type="dcterms:W3CDTF">2025-08-25T18:58:58Z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0x010100E905AEAFC6C2F04990C98A9BE6D3B8E0</vt:lpwstr>
  </property>
  <property fmtid="{D5CDD505-2E9C-101B-9397-08002B2CF9AE}" pid="3" name="MSIP_Label_49f350ef-1376-46f7-bb93-80a2bb8dd57d_Enabled">
    <vt:lpwstr>true</vt:lpwstr>
  </property>
  <property fmtid="{D5CDD505-2E9C-101B-9397-08002B2CF9AE}" pid="4" name="MSIP_Label_49f350ef-1376-46f7-bb93-80a2bb8dd57d_SetDate">
    <vt:lpwstr>2022-11-02T18:52:04Z</vt:lpwstr>
  </property>
  <property fmtid="{D5CDD505-2E9C-101B-9397-08002B2CF9AE}" pid="5" name="MSIP_Label_49f350ef-1376-46f7-bb93-80a2bb8dd57d_Method">
    <vt:lpwstr>Standard</vt:lpwstr>
  </property>
  <property fmtid="{D5CDD505-2E9C-101B-9397-08002B2CF9AE}" pid="6" name="MSIP_Label_49f350ef-1376-46f7-bb93-80a2bb8dd57d_Name">
    <vt:lpwstr>defa4170-0d19-0005-0004-bc88714345d2</vt:lpwstr>
  </property>
  <property fmtid="{D5CDD505-2E9C-101B-9397-08002B2CF9AE}" pid="7" name="MSIP_Label_49f350ef-1376-46f7-bb93-80a2bb8dd57d_SiteId">
    <vt:lpwstr>41cb8ddb-fc73-4894-a931-aa86e5ee1661</vt:lpwstr>
  </property>
  <property fmtid="{D5CDD505-2E9C-101B-9397-08002B2CF9AE}" pid="8" name="MSIP_Label_49f350ef-1376-46f7-bb93-80a2bb8dd57d_ActionId">
    <vt:lpwstr>804e444f-a896-4f47-9c21-d780e1db17c7</vt:lpwstr>
  </property>
  <property fmtid="{D5CDD505-2E9C-101B-9397-08002B2CF9AE}" pid="9" name="MSIP_Label_49f350ef-1376-46f7-bb93-80a2bb8dd57d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203800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